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Audrey Pack Memorial Library</w:t>
      </w:r>
    </w:p>
    <w:p w:rsidR="00000000" w:rsidDel="00000000" w:rsidP="00000000" w:rsidRDefault="00000000" w:rsidRPr="00000000" w14:paraId="00000002">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169 W. Rhea Avenue/ P.O. Box 382 Spring City, TN 37381</w:t>
      </w:r>
    </w:p>
    <w:p w:rsidR="00000000" w:rsidDel="00000000" w:rsidP="00000000" w:rsidRDefault="00000000" w:rsidRPr="00000000" w14:paraId="00000003">
      <w:pPr>
        <w:spacing w:after="0" w:lineRule="auto"/>
        <w:jc w:val="center"/>
        <w:rPr>
          <w:rFonts w:ascii="Arial" w:cs="Arial" w:eastAsia="Arial" w:hAnsi="Arial"/>
        </w:rPr>
      </w:pPr>
      <w:r w:rsidDel="00000000" w:rsidR="00000000" w:rsidRPr="00000000">
        <w:rPr>
          <w:rFonts w:ascii="Arial" w:cs="Arial" w:eastAsia="Arial" w:hAnsi="Arial"/>
          <w:sz w:val="24"/>
          <w:szCs w:val="24"/>
          <w:rtl w:val="0"/>
        </w:rPr>
        <w:t xml:space="preserve">423.365.9757 </w:t>
        <w:tab/>
      </w:r>
      <w:hyperlink r:id="rId7">
        <w:r w:rsidDel="00000000" w:rsidR="00000000" w:rsidRPr="00000000">
          <w:rPr>
            <w:rFonts w:ascii="Arial" w:cs="Arial" w:eastAsia="Arial" w:hAnsi="Arial"/>
            <w:sz w:val="24"/>
            <w:szCs w:val="24"/>
            <w:rtl w:val="0"/>
          </w:rPr>
          <w:t xml:space="preserve">jointhepack1@yahoo.com</w:t>
        </w:r>
      </w:hyperlink>
      <w:r w:rsidDel="00000000" w:rsidR="00000000" w:rsidRPr="00000000">
        <w:rPr>
          <w:rtl w:val="0"/>
        </w:rPr>
      </w:r>
    </w:p>
    <w:p w:rsidR="00000000" w:rsidDel="00000000" w:rsidP="00000000" w:rsidRDefault="00000000" w:rsidRPr="00000000" w14:paraId="00000004">
      <w:pPr>
        <w:spacing w:after="0" w:lineRule="auto"/>
        <w:ind w:firstLine="720"/>
        <w:rPr>
          <w:rFonts w:ascii="Arial" w:cs="Arial" w:eastAsia="Arial" w:hAnsi="Arial"/>
          <w:i w:val="1"/>
          <w:iCs w:val="1"/>
        </w:rPr>
      </w:pPr>
      <w:r w:rsidDel="00000000" w:rsidR="00000000" w:rsidRPr="00000000">
        <w:rPr>
          <w:rtl w:val="0"/>
        </w:rPr>
      </w:r>
    </w:p>
    <w:p w:rsidR="00000000" w:rsidDel="00000000" w:rsidP="00000000" w:rsidRDefault="00000000" w:rsidRPr="00000000" w14:paraId="00000005">
      <w:pPr>
        <w:spacing w:after="0" w:lineRule="auto"/>
        <w:ind w:firstLine="720"/>
        <w:rPr>
          <w:rFonts w:ascii="Arial" w:cs="Arial" w:eastAsia="Arial" w:hAnsi="Arial"/>
          <w:i w:val="1"/>
          <w:iCs w:val="1"/>
        </w:rPr>
      </w:pPr>
      <w:r w:rsidDel="00000000" w:rsidR="00000000" w:rsidRPr="00000000">
        <w:rPr>
          <w:rtl w:val="0"/>
        </w:rPr>
      </w:r>
    </w:p>
    <w:p w:rsidR="00000000" w:rsidDel="00000000" w:rsidP="00000000" w:rsidRDefault="00000000" w:rsidRPr="00000000" w14:paraId="00000006">
      <w:pPr>
        <w:shd w:fill="ffffff" w:val="clear"/>
        <w:spacing w:after="28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Collection Development Policy</w:t>
      </w:r>
    </w:p>
    <w:p w:rsidR="00000000" w:rsidDel="00000000" w:rsidP="00000000" w:rsidRDefault="00000000" w:rsidRPr="00000000" w14:paraId="00000007">
      <w:pPr>
        <w:shd w:fill="ffffff" w:val="clea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collection development policy is intended to provide guidance, within budgetary and space limitations, for the selection and evaluation of materials which anticipate and meet the needs and interests of the Spring City community</w:t>
      </w:r>
    </w:p>
    <w:p w:rsidR="00000000" w:rsidDel="00000000" w:rsidP="00000000" w:rsidRDefault="00000000" w:rsidRPr="00000000" w14:paraId="00000008">
      <w:pPr>
        <w:shd w:fill="ffffff" w:val="clea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the community changes, Audrey Pack Memorial Library reassesses and adapts its collections to reflect new and differing areas of interest and concern. The collection development policy is periodically evaluated and revised as necessary to provide guidance for implementing changes in the collection.</w:t>
      </w:r>
    </w:p>
    <w:p w:rsidR="00000000" w:rsidDel="00000000" w:rsidP="00000000" w:rsidRDefault="00000000" w:rsidRPr="00000000" w14:paraId="00000009">
      <w:pPr>
        <w:shd w:fill="ffffff" w:val="clear"/>
        <w:spacing w:after="280" w:before="28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Audrey Pack Memorial Library fully endorses the principles documented in the </w:t>
      </w:r>
      <w:hyperlink r:id="rId8">
        <w:r w:rsidDel="00000000" w:rsidR="00000000" w:rsidRPr="00000000">
          <w:rPr>
            <w:rFonts w:ascii="Arial" w:cs="Arial" w:eastAsia="Arial" w:hAnsi="Arial"/>
            <w:color w:val="000000"/>
            <w:sz w:val="24"/>
            <w:szCs w:val="24"/>
            <w:highlight w:val="white"/>
            <w:u w:val="none"/>
            <w:rtl w:val="0"/>
          </w:rPr>
          <w:t xml:space="preserve">Library Bill of Rights</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and the </w:t>
      </w:r>
      <w:hyperlink r:id="rId9">
        <w:r w:rsidDel="00000000" w:rsidR="00000000" w:rsidRPr="00000000">
          <w:rPr>
            <w:rFonts w:ascii="Arial" w:cs="Arial" w:eastAsia="Arial" w:hAnsi="Arial"/>
            <w:color w:val="000000"/>
            <w:sz w:val="24"/>
            <w:szCs w:val="24"/>
            <w:highlight w:val="white"/>
            <w:u w:val="none"/>
            <w:rtl w:val="0"/>
          </w:rPr>
          <w:t xml:space="preserve">Freedom to Read Statement</w:t>
        </w:r>
      </w:hyperlink>
      <w:r w:rsidDel="00000000" w:rsidR="00000000" w:rsidRPr="00000000">
        <w:rPr>
          <w:rFonts w:ascii="Arial" w:cs="Arial" w:eastAsia="Arial" w:hAnsi="Arial"/>
          <w:sz w:val="24"/>
          <w:szCs w:val="24"/>
          <w:highlight w:val="white"/>
          <w:rtl w:val="0"/>
        </w:rPr>
        <w:t xml:space="preserve"> of the American Library Association. The Library upholds the right of the individual to secure information, even though the content may be controversial, unorthodox, or unacceptable to others. Materials available in the library present a diversity of viewpoints, enabling citizens to make the informed choices necessary in a democracy.</w:t>
      </w:r>
    </w:p>
    <w:p w:rsidR="00000000" w:rsidDel="00000000" w:rsidP="00000000" w:rsidRDefault="00000000" w:rsidRPr="00000000" w14:paraId="0000000A">
      <w:pPr>
        <w:shd w:fill="ffffff" w:val="clear"/>
        <w:spacing w:after="280" w:before="28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funds received are used to purchase, nor will the library otherwise acquire, material that constitutes “child pornography,” is “pornographic for minors,” or is “obscene.”  Books and materials that contain sexual themes or content are reviewed by the public library independently for age-appropriateness and cataloged accordingly – even if this overrides the age-appropriateness recommended by the publisher.  Materials purchased for the library’s collection are based on patron requests.  </w:t>
      </w:r>
    </w:p>
    <w:p w:rsidR="00000000" w:rsidDel="00000000" w:rsidP="00000000" w:rsidRDefault="00000000" w:rsidRPr="00000000" w14:paraId="0000000B">
      <w:pPr>
        <w:shd w:fill="ffffff" w:val="clear"/>
        <w:spacing w:after="280" w:before="28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authority and responsibility for the selection of library materials rests ultimately with the Library Director. All staff members and the general public are encouraged to recommend materials for consideration.  A list of newly purchased/added items will be provided to the Library Board of Trustees.</w:t>
      </w:r>
    </w:p>
    <w:p w:rsidR="00000000" w:rsidDel="00000000" w:rsidP="00000000" w:rsidRDefault="00000000" w:rsidRPr="00000000" w14:paraId="0000000C">
      <w:pPr>
        <w:shd w:fill="ffffff" w:val="clear"/>
        <w:spacing w:after="280" w:before="28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Audrey Pack Memorial Library assembles preserves, organizes, and circulates print and non-print materials, with the limits of space and budget restrictions, to all residents of Spring City.  </w:t>
      </w:r>
    </w:p>
    <w:p w:rsidR="00000000" w:rsidDel="00000000" w:rsidP="00000000" w:rsidRDefault="00000000" w:rsidRPr="00000000" w14:paraId="0000000D">
      <w:pPr>
        <w:shd w:fill="ffffff" w:val="clear"/>
        <w:spacing w:after="280" w:before="28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Selection is based upon the following criteria:</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280" w:line="240" w:lineRule="auto"/>
        <w:ind w:left="1440" w:right="0" w:hanging="360"/>
        <w:jc w:val="left"/>
        <w:rPr>
          <w:rFonts w:ascii="Arial" w:cs="Arial" w:eastAsia="Arial" w:hAnsi="Arial"/>
          <w:i w:val="0"/>
          <w:iCs w:val="0"/>
          <w:smallCaps w:val="0"/>
          <w:strike w:val="0"/>
          <w:color w:val="000000"/>
          <w:sz w:val="24"/>
          <w:szCs w:val="24"/>
          <w:highlight w:val="white"/>
          <w:vertAlign w:val="baseline"/>
        </w:rPr>
      </w:pP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The reputation and significance of the author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i w:val="0"/>
          <w:iCs w:val="0"/>
          <w:smallCaps w:val="0"/>
          <w:strike w:val="0"/>
          <w:color w:val="000000"/>
          <w:sz w:val="24"/>
          <w:szCs w:val="24"/>
          <w:highlight w:val="white"/>
          <w:vertAlign w:val="baseline"/>
        </w:rPr>
      </w:pP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The importance of subject matter to the collection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i w:val="0"/>
          <w:iCs w:val="0"/>
          <w:smallCaps w:val="0"/>
          <w:strike w:val="0"/>
          <w:color w:val="000000"/>
          <w:sz w:val="24"/>
          <w:szCs w:val="24"/>
          <w:highlight w:val="white"/>
          <w:vertAlign w:val="baseline"/>
        </w:rPr>
      </w:pP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Popularity and availability of the material in the community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i w:val="0"/>
          <w:iCs w:val="0"/>
          <w:smallCaps w:val="0"/>
          <w:strike w:val="0"/>
          <w:color w:val="000000"/>
          <w:sz w:val="24"/>
          <w:szCs w:val="24"/>
          <w:highlight w:val="white"/>
          <w:vertAlign w:val="baseline"/>
        </w:rPr>
      </w:pP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Timeliness or permanence of material</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i w:val="0"/>
          <w:iCs w:val="0"/>
          <w:smallCaps w:val="0"/>
          <w:strike w:val="0"/>
          <w:color w:val="000000"/>
          <w:sz w:val="24"/>
          <w:szCs w:val="24"/>
          <w:highlight w:val="white"/>
          <w:vertAlign w:val="baseline"/>
        </w:rPr>
      </w:pP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Highly recommended reviews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i w:val="0"/>
          <w:iCs w:val="0"/>
          <w:smallCaps w:val="0"/>
          <w:strike w:val="0"/>
          <w:color w:val="000000"/>
          <w:sz w:val="24"/>
          <w:szCs w:val="24"/>
          <w:highlight w:val="white"/>
          <w:vertAlign w:val="baseline"/>
        </w:rPr>
      </w:pP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Price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i w:val="0"/>
          <w:iCs w:val="0"/>
          <w:smallCaps w:val="0"/>
          <w:strike w:val="0"/>
          <w:color w:val="000000"/>
          <w:sz w:val="24"/>
          <w:szCs w:val="24"/>
          <w:highlight w:val="white"/>
          <w:vertAlign w:val="baseline"/>
        </w:rPr>
      </w:pP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Accessibility of material through Inter-Library Loan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80" w:before="0" w:line="240" w:lineRule="auto"/>
        <w:ind w:left="1440" w:right="0" w:hanging="360"/>
        <w:jc w:val="left"/>
        <w:rPr>
          <w:rFonts w:ascii="Arial" w:cs="Arial" w:eastAsia="Arial" w:hAnsi="Arial"/>
          <w:i w:val="0"/>
          <w:iCs w:val="0"/>
          <w:smallCaps w:val="0"/>
          <w:strike w:val="0"/>
          <w:color w:val="000000"/>
          <w:sz w:val="24"/>
          <w:szCs w:val="24"/>
          <w:highlight w:val="white"/>
          <w:vertAlign w:val="baseline"/>
        </w:rPr>
      </w:pP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Available space</w:t>
      </w:r>
      <w:r w:rsidDel="00000000" w:rsidR="00000000" w:rsidRPr="00000000">
        <w:rPr>
          <w:rtl w:val="0"/>
        </w:rPr>
      </w:r>
    </w:p>
    <w:p w:rsidR="00000000" w:rsidDel="00000000" w:rsidP="00000000" w:rsidRDefault="00000000" w:rsidRPr="00000000" w14:paraId="00000016">
      <w:pPr>
        <w:shd w:fill="ffffff" w:val="clear"/>
        <w:spacing w:after="280" w:before="28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Audrey Pack Memorial Library encourages input from the Spring City community concerning the collection. All suggestions for purchase are subject to the same selection criteria as other materials and are not automatically added to the collection. It is the Library's intent that suggestions for purchase be used to help Audrey Pack Memorial Library in developing collections which serve the interests and needs of the community.</w:t>
      </w:r>
    </w:p>
    <w:p w:rsidR="00000000" w:rsidDel="00000000" w:rsidP="00000000" w:rsidRDefault="00000000" w:rsidRPr="00000000" w14:paraId="00000017">
      <w:pPr>
        <w:shd w:fill="ffffff" w:val="clear"/>
        <w:spacing w:after="280" w:before="28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Donations and Gifts Policy</w:t>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Donations that further the mission of the Audrey Pack Memorial Library (‘Library’) are encouraged and welcomed by the Library Board of Trustees (‘Board’).  Donations of library materials may be in the form of recent books, recorded books, CDs, and DVDs.  These donations should be clean and in good condition.  Please do not bring more items than you can carry into the Library.  Donations of old news magazines, geographic magazines, textbooks, or encyclopedias will not be accepted.</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Donations of library materials are accepted without conditions set by the donor, and immediately become the absolute property of the Library.  They cannot be returned.  As determined by the Library Director, some donations will be added to the collection.  The remainder will be sorted for book sales, vendor credit, and/or recycling. Donations added to the collection may be subsequently withdrawn when they are worn or when their content is no longer current.  Upon request, the Library will provide the donor a statement indicating the number and type of items donated and the date they were received.  The Library does not assign a dollar value to the donation.</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Library accepts monetary donations, bequests or memorials with or without conditions on their use.  In the former case any specific use requested must be consistent with the mission of the Library.  Depending on the size of the contribution and its requested use, the funds may be deposited in the general operating account for expenditure by the Library Director or set aside in an interest-generating account for future expenditure as directed by the Board. </w:t>
      </w:r>
    </w:p>
    <w:p w:rsidR="00000000" w:rsidDel="00000000" w:rsidP="00000000" w:rsidRDefault="00000000" w:rsidRPr="00000000" w14:paraId="0000001C">
      <w:pPr>
        <w:shd w:fill="ffffff" w:val="clear"/>
        <w:spacing w:after="280" w:before="280" w:line="240" w:lineRule="auto"/>
        <w:rPr>
          <w:rFonts w:ascii="Arial" w:cs="Arial" w:eastAsia="Arial" w:hAnsi="Arial"/>
          <w:i w:val="1"/>
          <w:iCs w:val="1"/>
          <w:sz w:val="24"/>
          <w:szCs w:val="24"/>
          <w:u w:val="single"/>
        </w:rPr>
      </w:pPr>
      <w:r w:rsidDel="00000000" w:rsidR="00000000" w:rsidRPr="00000000">
        <w:rPr>
          <w:rFonts w:ascii="Arial" w:cs="Arial" w:eastAsia="Arial" w:hAnsi="Arial"/>
          <w:i w:val="1"/>
          <w:iCs w:val="1"/>
          <w:sz w:val="24"/>
          <w:szCs w:val="24"/>
          <w:u w:val="single"/>
          <w:rtl w:val="0"/>
        </w:rPr>
        <w:t xml:space="preserve">Requests for Reconsideration</w:t>
      </w:r>
    </w:p>
    <w:p w:rsidR="00000000" w:rsidDel="00000000" w:rsidP="00000000" w:rsidRDefault="00000000" w:rsidRPr="00000000" w14:paraId="0000001D">
      <w:pPr>
        <w:shd w:fill="ffffff" w:val="clea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Patrons finding certain material objectionable may request it be reconsidered by filling our a “Request fo Reconsideration of Library Materials” form available at the front desk.  Patrons wishing to submit a reconsideration request must be a Audrey Pack Memorial Library cardholder in good standing and a resident of Rhea County.  Patrons wishing to dispute the age-appropriate designation on an item must also be a parent or guardian of a minor within Rhea County. </w:t>
      </w:r>
    </w:p>
    <w:p w:rsidR="00000000" w:rsidDel="00000000" w:rsidP="00000000" w:rsidRDefault="00000000" w:rsidRPr="00000000" w14:paraId="0000001E">
      <w:pPr>
        <w:shd w:fill="ffffff" w:val="clea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Reconsideration results are valid for five years; library materials are limited to one reconsideration request per 5 years.</w:t>
      </w:r>
    </w:p>
    <w:p w:rsidR="00000000" w:rsidDel="00000000" w:rsidP="00000000" w:rsidRDefault="00000000" w:rsidRPr="00000000" w14:paraId="0000001F">
      <w:pPr>
        <w:shd w:fill="ffffff" w:val="clea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library will respond to a “Request for Reconsideration of Library Materials” (the request) in the following manner:</w:t>
      </w:r>
    </w:p>
    <w:p w:rsidR="00000000" w:rsidDel="00000000" w:rsidP="00000000" w:rsidRDefault="00000000" w:rsidRPr="00000000" w14:paraId="00000020">
      <w:pPr>
        <w:numPr>
          <w:ilvl w:val="0"/>
          <w:numId w:val="4"/>
        </w:numPr>
        <w:shd w:fill="ffffff" w:val="clear"/>
        <w:spacing w:after="0" w:afterAutospacing="0" w:before="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staff member on duty receiving the initial request will supply the patron with a request form and ask the patron to complete the form.</w:t>
      </w:r>
    </w:p>
    <w:p w:rsidR="00000000" w:rsidDel="00000000" w:rsidP="00000000" w:rsidRDefault="00000000" w:rsidRPr="00000000" w14:paraId="00000021">
      <w:pPr>
        <w:numPr>
          <w:ilvl w:val="0"/>
          <w:numId w:val="4"/>
        </w:numPr>
        <w:shd w:fill="ffffff" w:val="clear"/>
        <w:spacing w:after="0" w:afterAutospacing="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When the request form is complete the turned in to a staff member, it will be given the the Library Director.</w:t>
      </w:r>
    </w:p>
    <w:p w:rsidR="00000000" w:rsidDel="00000000" w:rsidP="00000000" w:rsidRDefault="00000000" w:rsidRPr="00000000" w14:paraId="00000022">
      <w:pPr>
        <w:numPr>
          <w:ilvl w:val="0"/>
          <w:numId w:val="4"/>
        </w:numPr>
        <w:shd w:fill="ffffff" w:val="clear"/>
        <w:spacing w:after="0" w:afterAutospacing="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Library Director will acknowledge receipt of the request and specify a date by which the initiator will be give a formal response.  The date will be within 30 days from the date the request is received.</w:t>
      </w:r>
    </w:p>
    <w:p w:rsidR="00000000" w:rsidDel="00000000" w:rsidP="00000000" w:rsidRDefault="00000000" w:rsidRPr="00000000" w14:paraId="00000023">
      <w:pPr>
        <w:numPr>
          <w:ilvl w:val="0"/>
          <w:numId w:val="4"/>
        </w:numPr>
        <w:shd w:fill="ffffff" w:val="clear"/>
        <w:spacing w:after="0" w:afterAutospacing="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Library Director will notify the Board of Trustees that a request has been received.</w:t>
      </w:r>
    </w:p>
    <w:p w:rsidR="00000000" w:rsidDel="00000000" w:rsidP="00000000" w:rsidRDefault="00000000" w:rsidRPr="00000000" w14:paraId="00000024">
      <w:pPr>
        <w:numPr>
          <w:ilvl w:val="0"/>
          <w:numId w:val="4"/>
        </w:numPr>
        <w:shd w:fill="ffffff" w:val="clear"/>
        <w:spacing w:after="0" w:afterAutospacing="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Board of Trustees will schedule a meeting to discuss the request, the initiator of the request will be notified that their request has been placed on the meeting agenda.</w:t>
      </w:r>
    </w:p>
    <w:p w:rsidR="00000000" w:rsidDel="00000000" w:rsidP="00000000" w:rsidRDefault="00000000" w:rsidRPr="00000000" w14:paraId="00000025">
      <w:pPr>
        <w:numPr>
          <w:ilvl w:val="0"/>
          <w:numId w:val="4"/>
        </w:numPr>
        <w:shd w:fill="ffffff" w:val="clear"/>
        <w:spacing w:after="0" w:afterAutospacing="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Board of Trustees will make the final determination on the request; the Library Director and Board Chair will convey in writing the Board’s decision to initiator of the request.  </w:t>
      </w:r>
      <w:r w:rsidDel="00000000" w:rsidR="00000000" w:rsidRPr="00000000">
        <w:rPr>
          <w:rFonts w:ascii="Arial" w:cs="Arial" w:eastAsia="Arial" w:hAnsi="Arial"/>
          <w:sz w:val="24"/>
          <w:szCs w:val="24"/>
          <w:rtl w:val="0"/>
        </w:rPr>
        <w:t xml:space="preserve">The results of decisions by the board upon reviewing items for reconsideration will be included in the official board meeting minutes. </w:t>
      </w:r>
      <w:r w:rsidDel="00000000" w:rsidR="00000000" w:rsidRPr="00000000">
        <w:rPr>
          <w:rtl w:val="0"/>
        </w:rPr>
      </w:r>
    </w:p>
    <w:p w:rsidR="00000000" w:rsidDel="00000000" w:rsidP="00000000" w:rsidRDefault="00000000" w:rsidRPr="00000000" w14:paraId="00000026">
      <w:pPr>
        <w:numPr>
          <w:ilvl w:val="0"/>
          <w:numId w:val="4"/>
        </w:numPr>
        <w:shd w:fill="ffffff" w:val="clear"/>
        <w:spacing w:after="28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 initiator fails to appear before the Board of Trustees at the given time; the request will be null and void.  </w:t>
      </w:r>
    </w:p>
    <w:p w:rsidR="00000000" w:rsidDel="00000000" w:rsidP="00000000" w:rsidRDefault="00000000" w:rsidRPr="00000000" w14:paraId="00000027">
      <w:pPr>
        <w:shd w:fill="ffffff" w:val="clear"/>
        <w:spacing w:after="280" w:before="280" w:line="240" w:lineRule="auto"/>
        <w:rPr>
          <w:rFonts w:ascii="Arial" w:cs="Arial" w:eastAsia="Arial" w:hAnsi="Arial"/>
          <w:i w:val="1"/>
          <w:iCs w:val="1"/>
          <w:sz w:val="24"/>
          <w:szCs w:val="24"/>
          <w:u w:val="single"/>
        </w:rPr>
      </w:pPr>
      <w:r w:rsidDel="00000000" w:rsidR="00000000" w:rsidRPr="00000000">
        <w:rPr>
          <w:rFonts w:ascii="Arial" w:cs="Arial" w:eastAsia="Arial" w:hAnsi="Arial"/>
          <w:i w:val="1"/>
          <w:iCs w:val="1"/>
          <w:sz w:val="24"/>
          <w:szCs w:val="24"/>
          <w:u w:val="single"/>
          <w:rtl w:val="0"/>
        </w:rPr>
        <w:t xml:space="preserve">Collection Maintenance</w:t>
      </w:r>
    </w:p>
    <w:p w:rsidR="00000000" w:rsidDel="00000000" w:rsidP="00000000" w:rsidRDefault="00000000" w:rsidRPr="00000000" w14:paraId="00000028">
      <w:pPr>
        <w:shd w:fill="ffffff" w:val="clea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to acquiring new materials, it is important to remove from the existing collection those items no longer deemed useful or relevant. This policy provides authority for the systematic and regular evaluation of the existing collection and subsequent withdrawal of worn, obsolete or infrequently used materials and supports the public’s right of access to an appealing and relevant collection.</w:t>
      </w:r>
    </w:p>
    <w:p w:rsidR="00000000" w:rsidDel="00000000" w:rsidP="00000000" w:rsidRDefault="00000000" w:rsidRPr="00000000" w14:paraId="00000029">
      <w:pPr>
        <w:shd w:fill="ffffff" w:val="clea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Library staff systematically reviews the collection with the goal of maintaining the quality and vitality of library resources. This process of collection analysis incorporates the use of output measures, circulation reports, and other statistical information for continuous collection evaluation.</w:t>
      </w:r>
    </w:p>
    <w:p w:rsidR="00000000" w:rsidDel="00000000" w:rsidP="00000000" w:rsidRDefault="00000000" w:rsidRPr="00000000" w14:paraId="0000002A">
      <w:pPr>
        <w:shd w:fill="ffffff" w:val="clear"/>
        <w:spacing w:after="280" w:before="280" w:line="240" w:lineRule="auto"/>
        <w:rPr>
          <w:rFonts w:ascii="Arial" w:cs="Arial" w:eastAsia="Arial" w:hAnsi="Arial"/>
          <w:i w:val="1"/>
          <w:iCs w:val="1"/>
          <w:sz w:val="24"/>
          <w:szCs w:val="24"/>
          <w:u w:val="single"/>
        </w:rPr>
      </w:pPr>
      <w:r w:rsidDel="00000000" w:rsidR="00000000" w:rsidRPr="00000000">
        <w:rPr>
          <w:rFonts w:ascii="Arial" w:cs="Arial" w:eastAsia="Arial" w:hAnsi="Arial"/>
          <w:i w:val="1"/>
          <w:iCs w:val="1"/>
          <w:sz w:val="24"/>
          <w:szCs w:val="24"/>
          <w:u w:val="single"/>
          <w:rtl w:val="0"/>
        </w:rPr>
        <w:t xml:space="preserve">Weeding Evaluation Criteria</w:t>
      </w:r>
    </w:p>
    <w:p w:rsidR="00000000" w:rsidDel="00000000" w:rsidP="00000000" w:rsidRDefault="00000000" w:rsidRPr="00000000" w14:paraId="0000002B">
      <w:pPr>
        <w:shd w:fill="ffffff" w:val="clea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Weeding in this context is defined as the process of evaluating a book to determine if it will be retained, relocated, or replaced. Selection of materials for discarding is based on the CREW method.</w:t>
      </w:r>
    </w:p>
    <w:p w:rsidR="00000000" w:rsidDel="00000000" w:rsidP="00000000" w:rsidRDefault="00000000" w:rsidRPr="00000000" w14:paraId="0000002C">
      <w:pPr>
        <w:numPr>
          <w:ilvl w:val="0"/>
          <w:numId w:val="2"/>
        </w:numPr>
        <w:shd w:fill="ffffff" w:val="clear"/>
        <w:spacing w:after="0" w:before="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Continuous</w:t>
      </w:r>
    </w:p>
    <w:p w:rsidR="00000000" w:rsidDel="00000000" w:rsidP="00000000" w:rsidRDefault="00000000" w:rsidRPr="00000000" w14:paraId="0000002D">
      <w:pPr>
        <w:numPr>
          <w:ilvl w:val="0"/>
          <w:numId w:val="2"/>
        </w:numPr>
        <w:shd w:fill="ffffff" w:val="clea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Review</w:t>
      </w:r>
    </w:p>
    <w:p w:rsidR="00000000" w:rsidDel="00000000" w:rsidP="00000000" w:rsidRDefault="00000000" w:rsidRPr="00000000" w14:paraId="0000002E">
      <w:pPr>
        <w:numPr>
          <w:ilvl w:val="0"/>
          <w:numId w:val="2"/>
        </w:numPr>
        <w:shd w:fill="ffffff" w:val="clea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Evaluation</w:t>
      </w:r>
    </w:p>
    <w:p w:rsidR="00000000" w:rsidDel="00000000" w:rsidP="00000000" w:rsidRDefault="00000000" w:rsidRPr="00000000" w14:paraId="0000002F">
      <w:pPr>
        <w:numPr>
          <w:ilvl w:val="0"/>
          <w:numId w:val="2"/>
        </w:numPr>
        <w:shd w:fill="ffffff" w:val="clear"/>
        <w:spacing w:after="28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Weeding</w:t>
      </w:r>
    </w:p>
    <w:p w:rsidR="00000000" w:rsidDel="00000000" w:rsidP="00000000" w:rsidRDefault="00000000" w:rsidRPr="00000000" w14:paraId="00000030">
      <w:pPr>
        <w:shd w:fill="ffffff" w:val="clea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system uses the acronym, MUSTIE, to help evaluate an item for withdrawal:</w:t>
      </w:r>
    </w:p>
    <w:p w:rsidR="00000000" w:rsidDel="00000000" w:rsidP="00000000" w:rsidRDefault="00000000" w:rsidRPr="00000000" w14:paraId="00000031">
      <w:pPr>
        <w:numPr>
          <w:ilvl w:val="0"/>
          <w:numId w:val="3"/>
        </w:numPr>
        <w:shd w:fill="ffffff" w:val="clear"/>
        <w:spacing w:after="0" w:before="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Misleading and/or factually inaccurate</w:t>
      </w:r>
    </w:p>
    <w:p w:rsidR="00000000" w:rsidDel="00000000" w:rsidP="00000000" w:rsidRDefault="00000000" w:rsidRPr="00000000" w14:paraId="00000032">
      <w:pPr>
        <w:numPr>
          <w:ilvl w:val="0"/>
          <w:numId w:val="3"/>
        </w:numPr>
        <w:shd w:fill="ffffff" w:val="clea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Ugly (worn out beyond mending or rebinding)</w:t>
      </w:r>
    </w:p>
    <w:p w:rsidR="00000000" w:rsidDel="00000000" w:rsidP="00000000" w:rsidRDefault="00000000" w:rsidRPr="00000000" w14:paraId="00000033">
      <w:pPr>
        <w:numPr>
          <w:ilvl w:val="0"/>
          <w:numId w:val="3"/>
        </w:numPr>
        <w:shd w:fill="ffffff" w:val="clea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Superseded by a new edition or a better source</w:t>
      </w:r>
    </w:p>
    <w:p w:rsidR="00000000" w:rsidDel="00000000" w:rsidP="00000000" w:rsidRDefault="00000000" w:rsidRPr="00000000" w14:paraId="00000034">
      <w:pPr>
        <w:numPr>
          <w:ilvl w:val="0"/>
          <w:numId w:val="3"/>
        </w:numPr>
        <w:shd w:fill="ffffff" w:val="clea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Trivial (of no discernible literary or scientific merit)</w:t>
      </w:r>
    </w:p>
    <w:p w:rsidR="00000000" w:rsidDel="00000000" w:rsidP="00000000" w:rsidRDefault="00000000" w:rsidRPr="00000000" w14:paraId="00000035">
      <w:pPr>
        <w:numPr>
          <w:ilvl w:val="0"/>
          <w:numId w:val="3"/>
        </w:numPr>
        <w:shd w:fill="ffffff" w:val="clea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Irrelevant to the needs and interest of your community</w:t>
      </w:r>
    </w:p>
    <w:p w:rsidR="00000000" w:rsidDel="00000000" w:rsidP="00000000" w:rsidRDefault="00000000" w:rsidRPr="00000000" w14:paraId="00000036">
      <w:pPr>
        <w:numPr>
          <w:ilvl w:val="0"/>
          <w:numId w:val="3"/>
        </w:numPr>
        <w:shd w:fill="ffffff" w:val="clear"/>
        <w:spacing w:after="28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Elsewhere (the material may be easily borrowed from another source)</w:t>
      </w:r>
    </w:p>
    <w:p w:rsidR="00000000" w:rsidDel="00000000" w:rsidP="00000000" w:rsidRDefault="00000000" w:rsidRPr="00000000" w14:paraId="00000037">
      <w:pPr>
        <w:shd w:fill="ffffff" w:val="clear"/>
        <w:spacing w:after="28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Alma Marquardt, Chairperson</w:t>
        <w:tab/>
        <w:t xml:space="preserve">Kim Johnson, Secretary</w:t>
      </w:r>
    </w:p>
    <w:p w:rsidR="00000000" w:rsidDel="00000000" w:rsidP="00000000" w:rsidRDefault="00000000" w:rsidRPr="00000000" w14:paraId="0000003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Erin Sanchez, Vice Chair         </w:t>
        <w:tab/>
        <w:t xml:space="preserve">Vacancy, Trustee</w:t>
      </w:r>
    </w:p>
    <w:p w:rsidR="00000000" w:rsidDel="00000000" w:rsidP="00000000" w:rsidRDefault="00000000" w:rsidRPr="00000000" w14:paraId="0000003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Sean O’Neil, Trustee </w:t>
        <w:tab/>
        <w:t xml:space="preserve">Chris Anderson, Trustee</w:t>
      </w:r>
    </w:p>
    <w:p w:rsidR="00000000" w:rsidDel="00000000" w:rsidP="00000000" w:rsidRDefault="00000000" w:rsidRPr="00000000" w14:paraId="0000003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Jody Bauer, Commissioner</w:t>
      </w:r>
    </w:p>
    <w:p w:rsidR="00000000" w:rsidDel="00000000" w:rsidP="00000000" w:rsidRDefault="00000000" w:rsidRPr="00000000" w14:paraId="0000003C">
      <w:pPr>
        <w:shd w:fill="ffffff" w:val="clear"/>
        <w:spacing w:after="280" w:before="280" w:line="240" w:lineRule="auto"/>
        <w:rPr>
          <w:rFonts w:ascii="Arial" w:cs="Arial" w:eastAsia="Arial" w:hAnsi="Arial"/>
          <w:b w:val="1"/>
          <w:bCs w:val="1"/>
          <w:i w:val="1"/>
          <w:iCs w:val="1"/>
          <w:sz w:val="24"/>
          <w:szCs w:val="24"/>
        </w:rPr>
      </w:pPr>
      <w:r w:rsidDel="00000000" w:rsidR="00000000" w:rsidRPr="00000000">
        <w:rPr>
          <w:rFonts w:ascii="Arial" w:cs="Arial" w:eastAsia="Arial" w:hAnsi="Arial"/>
          <w:sz w:val="24"/>
          <w:szCs w:val="24"/>
          <w:rtl w:val="0"/>
        </w:rPr>
        <w:t xml:space="preserve">Approved February 10, 2026</w:t>
      </w:r>
      <w:r w:rsidDel="00000000" w:rsidR="00000000" w:rsidRPr="00000000">
        <w:rPr>
          <w:rtl w:val="0"/>
        </w:rPr>
      </w:r>
    </w:p>
    <w:p w:rsidR="00000000" w:rsidDel="00000000" w:rsidP="00000000" w:rsidRDefault="00000000" w:rsidRPr="00000000" w14:paraId="0000003D">
      <w:pPr>
        <w:shd w:fill="ffffff" w:val="clear"/>
        <w:spacing w:after="280" w:before="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8D6718"/>
    <w:rPr>
      <w:color w:val="0000ff"/>
      <w:u w:val="single"/>
    </w:rPr>
  </w:style>
  <w:style w:type="paragraph" w:styleId="ListParagraph">
    <w:name w:val="List Paragraph"/>
    <w:basedOn w:val="Normal"/>
    <w:uiPriority w:val="34"/>
    <w:qFormat w:val="1"/>
    <w:rsid w:val="008D6718"/>
    <w:pPr>
      <w:ind w:left="720"/>
      <w:contextualSpacing w:val="1"/>
    </w:pPr>
  </w:style>
  <w:style w:type="paragraph" w:styleId="Header">
    <w:name w:val="header"/>
    <w:basedOn w:val="Normal"/>
    <w:link w:val="HeaderChar"/>
    <w:uiPriority w:val="99"/>
    <w:unhideWhenUsed w:val="1"/>
    <w:rsid w:val="00014F97"/>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4F97"/>
  </w:style>
  <w:style w:type="paragraph" w:styleId="Footer">
    <w:name w:val="footer"/>
    <w:basedOn w:val="Normal"/>
    <w:link w:val="FooterChar"/>
    <w:uiPriority w:val="99"/>
    <w:unhideWhenUsed w:val="1"/>
    <w:rsid w:val="00014F9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4F9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ala.org/advocacy/intfreedom/statementspols/freedomreadstatem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inthepack1@yahoo.com" TargetMode="External"/><Relationship Id="rId8" Type="http://schemas.openxmlformats.org/officeDocument/2006/relationships/hyperlink" Target="http://www.ala.org/advocacy/intfreedom/librarybi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VGsY+1CKGxqr6VZRy5XXM5+h1Q==">CgMxLjA4AHIhMTFwa2REalZxYVZjSmJaNk9OX0VyYzREc2NsMUtBaV9z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2024-12-11T19:31:00Z</dcterms:created>
  <dc:creator>exec</dc:creator>
</cp:coreProperties>
</file>